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2E6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1FDB4518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39F6601E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3BD233CB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A19C4D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19A2557D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</w:t>
      </w:r>
      <w:r w:rsidRPr="00F908B3">
        <w:rPr>
          <w:sz w:val="18"/>
          <w:szCs w:val="18"/>
          <w:lang w:val="fr-CA"/>
        </w:rPr>
        <w:t>Modèle GP</w:t>
      </w:r>
      <w:r w:rsidR="00F908B3" w:rsidRPr="00F908B3">
        <w:rPr>
          <w:sz w:val="18"/>
          <w:szCs w:val="18"/>
          <w:lang w:val="fr-CA"/>
        </w:rPr>
        <w:t>S</w:t>
      </w:r>
      <w:r w:rsidRPr="00F908B3">
        <w:rPr>
          <w:sz w:val="18"/>
          <w:szCs w:val="18"/>
          <w:lang w:val="fr-CA"/>
        </w:rPr>
        <w:t>+GPU</w:t>
      </w:r>
    </w:p>
    <w:p w14:paraId="03B651E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047125A6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03BE0828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2C4B9883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6B2692FC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1E1ACA2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09A889AA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21B5E4D3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5A18309E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6D0DFF8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4D11C27A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3D5E9EB5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EC7DFE">
        <w:rPr>
          <w:sz w:val="19"/>
          <w:szCs w:val="19"/>
          <w:lang w:val="fr-CA"/>
        </w:rPr>
        <w:t xml:space="preserve">réduite </w:t>
      </w:r>
      <w:r w:rsidR="00EC7DFE" w:rsidRPr="00EC7DFE">
        <w:rPr>
          <w:sz w:val="18"/>
          <w:szCs w:val="18"/>
          <w:lang w:val="fr-CA"/>
        </w:rPr>
        <w:t>électronique a accélération et décélération contrôlées</w:t>
      </w:r>
      <w:r w:rsidR="00EC7DFE" w:rsidRPr="00AB3AD0">
        <w:rPr>
          <w:sz w:val="18"/>
          <w:szCs w:val="18"/>
          <w:lang w:val="fr-CA"/>
        </w:rPr>
        <w:t xml:space="preserve"> </w:t>
      </w:r>
    </w:p>
    <w:p w14:paraId="71FB5E2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53587E59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04F3F76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1E65C597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4159EFA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324C6DB4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3919728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204B5A3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05D1D505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5DE5C1C9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524812DC" w14:textId="77777777" w:rsidR="00AB3AD0" w:rsidRPr="00F908B3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F908B3">
        <w:rPr>
          <w:sz w:val="18"/>
          <w:szCs w:val="18"/>
          <w:lang w:val="fr-CA"/>
        </w:rPr>
        <w:t>600% du courant de pleine charge</w:t>
      </w:r>
    </w:p>
    <w:p w14:paraId="32086FC5" w14:textId="77777777" w:rsidR="00AB3AD0" w:rsidRPr="00F908B3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908B3">
        <w:rPr>
          <w:sz w:val="18"/>
          <w:szCs w:val="18"/>
          <w:lang w:val="fr-CA"/>
        </w:rPr>
        <w:t xml:space="preserve">Démarreur </w:t>
      </w:r>
      <w:r w:rsidR="00F908B3" w:rsidRPr="00F908B3">
        <w:rPr>
          <w:sz w:val="18"/>
          <w:szCs w:val="18"/>
          <w:lang w:val="fr-CA"/>
        </w:rPr>
        <w:t>électronique a accélération et décélération contrôlées</w:t>
      </w:r>
    </w:p>
    <w:p w14:paraId="08B496FC" w14:textId="77777777" w:rsidR="00AB3AD0" w:rsidRPr="00F908B3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908B3">
        <w:rPr>
          <w:sz w:val="18"/>
          <w:szCs w:val="18"/>
          <w:lang w:val="fr-CA"/>
        </w:rPr>
        <w:t>Inverseur automatique retenu mécaniquement et activé électriquement</w:t>
      </w:r>
    </w:p>
    <w:p w14:paraId="131100C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0E58048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1B34D6B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36ADE48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4825D78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6ECA3BDE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5F67AE14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278E2DFA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Départ</w:t>
      </w:r>
    </w:p>
    <w:p w14:paraId="14869B33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0AFCC30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1DD2B2AB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371D1CC5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72E57274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6764B184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1CFB0C04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6608C0FB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78E03A9E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4D35ACA5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1F2D097D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1DD1C832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13F9DA1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73307979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25B0FDF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120C7D1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0427E5A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09A2DD2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480B5A6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769788C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2E66AA4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339E84E9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635DBDCD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1E47558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31A9507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4780F46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392D8B2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233F5E2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510C175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57E7891E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6884260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30B4BEF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210F592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64DB3EC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4A0502F5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3D4F4B98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2613D0D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613FEB5F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6C3593D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5E75BABB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65897C1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666B38C1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3A6D243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08146074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10C4F44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Sous-tension</w:t>
      </w:r>
    </w:p>
    <w:p w14:paraId="6EDBC26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7FBD99E5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27C5D41D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6B6721FE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6E8FF5B9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23D29C24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61BCD42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2423325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754FBF9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0F772C8D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69F4E560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73109101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5D97BA3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20D09F2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7E75C78B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07752ACB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34F754A3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0F76AF1C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46DD07A6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287B473E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1C68EA7F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7FF8BCDC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04724301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2E81333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2D9775A4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2688DD2F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6B9A2E49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14EE9B09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20BE6D22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446D620E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33578F79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4127ED5F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33CA3C3D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075CB1F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1FE51BB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44925B4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DC5C096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667A20FE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76509CB1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0D982C23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21E1FBAE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Temps allumer</w:t>
      </w:r>
    </w:p>
    <w:p w14:paraId="75810831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722432AA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1B88F21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5057CA11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52EFC95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540CD0CC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0AB2FE0D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FC8E755" w14:textId="77777777" w:rsidR="008006DB" w:rsidRPr="00F908B3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 xml:space="preserve">Tension entre les phases avec </w:t>
      </w:r>
      <w:r w:rsidRPr="00F908B3">
        <w:rPr>
          <w:sz w:val="18"/>
          <w:szCs w:val="18"/>
          <w:lang w:val="fr-CA"/>
        </w:rPr>
        <w:t>date et heure</w:t>
      </w:r>
    </w:p>
    <w:p w14:paraId="295F5A9B" w14:textId="77777777" w:rsidR="00AB3AD0" w:rsidRPr="00F908B3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F908B3">
        <w:rPr>
          <w:sz w:val="18"/>
          <w:szCs w:val="18"/>
          <w:lang w:val="fr-CA"/>
        </w:rPr>
        <w:t xml:space="preserve">Ampérage </w:t>
      </w:r>
      <w:r w:rsidR="00CC47FD" w:rsidRPr="00F908B3">
        <w:rPr>
          <w:sz w:val="18"/>
          <w:szCs w:val="18"/>
          <w:lang w:val="fr-CA"/>
        </w:rPr>
        <w:t xml:space="preserve">par </w:t>
      </w:r>
      <w:r w:rsidRPr="00F908B3">
        <w:rPr>
          <w:sz w:val="18"/>
          <w:szCs w:val="18"/>
          <w:lang w:val="fr-CA"/>
        </w:rPr>
        <w:t>phase avec date et heure</w:t>
      </w:r>
    </w:p>
    <w:p w14:paraId="4A23C50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594A536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136EFA5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2387174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1095BF3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5BD46296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7DD6FFA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C1A06A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4D7EFB6E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1B8089F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2D39D53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1EB5B54A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F908B3">
        <w:rPr>
          <w:sz w:val="18"/>
          <w:szCs w:val="18"/>
          <w:lang w:val="fr-CA"/>
        </w:rPr>
        <w:t>D'ALARME D</w:t>
      </w:r>
      <w:r w:rsidR="00AB3AD0" w:rsidRPr="00F908B3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3BF8999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4B29418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08C37B5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4E5F5AE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3B2FF0EB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393A316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0886019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17F7575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06DE96E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244EC2E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0E72E5EF" w14:textId="4F5F3B6B" w:rsidR="00AB3AD0" w:rsidRPr="00D30068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52BA3370" w14:textId="77777777" w:rsidR="00B664CE" w:rsidRDefault="00D30068" w:rsidP="00355C3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bookmarkStart w:id="0" w:name="_GoBack"/>
      <w:r w:rsidRPr="00EE1453">
        <w:rPr>
          <w:sz w:val="18"/>
          <w:szCs w:val="18"/>
          <w:lang w:val="fr-CA"/>
        </w:rPr>
        <w:t>Sectionneur d’is</w:t>
      </w:r>
      <w:r>
        <w:rPr>
          <w:sz w:val="18"/>
          <w:szCs w:val="18"/>
          <w:lang w:val="fr-CA"/>
        </w:rPr>
        <w:t xml:space="preserve">olement côté alternatif ouvert/ </w:t>
      </w:r>
      <w:r w:rsidRPr="00EE1453">
        <w:rPr>
          <w:sz w:val="18"/>
          <w:szCs w:val="18"/>
          <w:lang w:val="fr-CA"/>
        </w:rPr>
        <w:t>déclenché</w:t>
      </w:r>
    </w:p>
    <w:p w14:paraId="7DB5C05E" w14:textId="4C543DFB" w:rsidR="00D30068" w:rsidRPr="00B664CE" w:rsidRDefault="00D30068" w:rsidP="00355C3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B664CE">
        <w:rPr>
          <w:sz w:val="18"/>
          <w:szCs w:val="18"/>
          <w:lang w:val="fr-CA"/>
        </w:rPr>
        <w:t xml:space="preserve">Disjoncteur côté alternatif ouvert/déclenché </w:t>
      </w:r>
    </w:p>
    <w:bookmarkEnd w:id="0"/>
    <w:p w14:paraId="7162ACBC" w14:textId="77777777" w:rsidR="00D30068" w:rsidRDefault="00D30068" w:rsidP="007B7D5D">
      <w:pPr>
        <w:rPr>
          <w:lang w:val="fr-CA"/>
        </w:rPr>
        <w:sectPr w:rsidR="00D30068" w:rsidSect="00FB3E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</w:p>
    <w:p w14:paraId="68EBAA35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239F" w14:textId="77777777" w:rsidR="00E2476C" w:rsidRDefault="00E2476C" w:rsidP="00A119C6">
      <w:pPr>
        <w:spacing w:after="0" w:line="240" w:lineRule="auto"/>
      </w:pPr>
      <w:r>
        <w:separator/>
      </w:r>
    </w:p>
  </w:endnote>
  <w:endnote w:type="continuationSeparator" w:id="0">
    <w:p w14:paraId="700F1010" w14:textId="77777777" w:rsidR="00E2476C" w:rsidRDefault="00E2476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7838" w14:textId="77777777" w:rsidR="00FB3EF1" w:rsidRDefault="00FB3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88180" w14:textId="6FB1891B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0DD49A2" wp14:editId="6ECEA39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F908B3">
      <w:rPr>
        <w:sz w:val="20"/>
        <w:szCs w:val="20"/>
      </w:rPr>
      <w:t>GP</w:t>
    </w:r>
    <w:r w:rsidR="00F908B3" w:rsidRPr="00F908B3">
      <w:rPr>
        <w:sz w:val="20"/>
        <w:szCs w:val="20"/>
      </w:rPr>
      <w:t>S</w:t>
    </w:r>
    <w:r w:rsidR="003E6311" w:rsidRPr="00F908B3">
      <w:rPr>
        <w:sz w:val="20"/>
        <w:szCs w:val="20"/>
      </w:rPr>
      <w:t>+GPU-SPE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EA6635">
      <w:rPr>
        <w:sz w:val="20"/>
        <w:szCs w:val="20"/>
      </w:rPr>
      <w:t>2</w:t>
    </w:r>
  </w:p>
  <w:p w14:paraId="670D0854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C3A3" w14:textId="77777777" w:rsidR="00FB3EF1" w:rsidRDefault="00FB3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A9F0" w14:textId="77777777" w:rsidR="00E2476C" w:rsidRDefault="00E2476C" w:rsidP="00A119C6">
      <w:pPr>
        <w:spacing w:after="0" w:line="240" w:lineRule="auto"/>
      </w:pPr>
      <w:r>
        <w:separator/>
      </w:r>
    </w:p>
  </w:footnote>
  <w:footnote w:type="continuationSeparator" w:id="0">
    <w:p w14:paraId="736F667C" w14:textId="77777777" w:rsidR="00E2476C" w:rsidRDefault="00E2476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614A" w14:textId="77777777" w:rsidR="00FB3EF1" w:rsidRDefault="00FB3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A50D" w14:textId="77777777" w:rsidR="003E6311" w:rsidRPr="00AB49A6" w:rsidRDefault="008E6124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B84FCFF" wp14:editId="07EA6D0D">
          <wp:simplePos x="0" y="0"/>
          <wp:positionH relativeFrom="column">
            <wp:posOffset>-38100</wp:posOffset>
          </wp:positionH>
          <wp:positionV relativeFrom="paragraph">
            <wp:posOffset>352425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2EBA9C72" w14:textId="77777777" w:rsidR="00F908B3" w:rsidRPr="00F908B3" w:rsidRDefault="003E6311" w:rsidP="00F908B3">
    <w:pPr>
      <w:pStyle w:val="Header"/>
      <w:tabs>
        <w:tab w:val="left" w:pos="2880"/>
      </w:tabs>
      <w:spacing w:line="180" w:lineRule="auto"/>
      <w:jc w:val="center"/>
      <w:rPr>
        <w:rFonts w:cs="Calibri"/>
        <w:b/>
        <w:bCs/>
        <w:color w:val="FF0000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</w:t>
    </w:r>
    <w:r w:rsidRPr="00F908B3">
      <w:rPr>
        <w:rFonts w:cs="Calibri"/>
        <w:sz w:val="24"/>
        <w:szCs w:val="24"/>
        <w:lang w:val="fr-CA"/>
      </w:rPr>
      <w:t>POMPE ANTI-INCENDIE</w:t>
    </w:r>
    <w:r w:rsidRPr="00F908B3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</w:t>
    </w:r>
  </w:p>
  <w:p w14:paraId="48108825" w14:textId="77777777" w:rsidR="003E6311" w:rsidRPr="00F908B3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/>
        <w:bCs/>
        <w:color w:val="FF0000"/>
        <w:sz w:val="24"/>
        <w:szCs w:val="24"/>
        <w:lang w:val="fr-CA"/>
      </w:rPr>
    </w:pPr>
    <w:r w:rsidRPr="00F908B3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F908B3" w:rsidRPr="00F908B3">
      <w:rPr>
        <w:rFonts w:cs="Calibri"/>
        <w:b/>
        <w:bCs/>
        <w:color w:val="FF0000"/>
        <w:sz w:val="24"/>
        <w:szCs w:val="24"/>
        <w:lang w:val="fr-CA"/>
      </w:rPr>
      <w:t>S</w:t>
    </w:r>
    <w:r w:rsidRPr="00F908B3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Pr="00F908B3">
      <w:rPr>
        <w:rFonts w:cs="Calibri"/>
        <w:bCs/>
        <w:sz w:val="24"/>
        <w:szCs w:val="24"/>
        <w:lang w:val="fr-CA"/>
      </w:rPr>
      <w:t>PLEIN SERVICE</w:t>
    </w:r>
    <w:r w:rsidR="00AB3AD0" w:rsidRPr="00F908B3">
      <w:rPr>
        <w:rFonts w:cs="Calibri"/>
        <w:bCs/>
        <w:sz w:val="24"/>
        <w:szCs w:val="24"/>
        <w:lang w:val="fr-CA"/>
      </w:rPr>
      <w:t xml:space="preserve"> </w:t>
    </w:r>
  </w:p>
  <w:p w14:paraId="3D43DF44" w14:textId="77777777" w:rsidR="00F908B3" w:rsidRDefault="00AB3AD0" w:rsidP="00F908B3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908B3">
      <w:rPr>
        <w:rFonts w:cs="Calibri"/>
        <w:bCs/>
        <w:sz w:val="24"/>
        <w:szCs w:val="24"/>
        <w:lang w:val="fr-CA"/>
      </w:rPr>
      <w:t xml:space="preserve">DÉMARREUR TENSION </w:t>
    </w:r>
    <w:r w:rsidR="00F908B3" w:rsidRPr="00F908B3">
      <w:rPr>
        <w:rFonts w:cs="Calibri"/>
        <w:bCs/>
        <w:sz w:val="24"/>
        <w:szCs w:val="24"/>
        <w:lang w:val="fr-CA"/>
      </w:rPr>
      <w:t xml:space="preserve">REDUITE </w:t>
    </w:r>
  </w:p>
  <w:p w14:paraId="6FD8F5CA" w14:textId="77777777" w:rsidR="00AB3AD0" w:rsidRDefault="00F908B3" w:rsidP="00F908B3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621592">
      <w:rPr>
        <w:rFonts w:cs="Calibri"/>
        <w:bCs/>
        <w:sz w:val="24"/>
        <w:szCs w:val="24"/>
        <w:lang w:val="fr-CA"/>
      </w:rPr>
      <w:t>ÉLECTRONIQUE À ACCÉLÉRATION ET</w:t>
    </w:r>
    <w:r>
      <w:rPr>
        <w:rFonts w:cs="Calibri"/>
        <w:bCs/>
        <w:sz w:val="24"/>
        <w:szCs w:val="24"/>
        <w:lang w:val="fr-CA"/>
      </w:rPr>
      <w:t xml:space="preserve"> </w:t>
    </w:r>
    <w:r w:rsidRPr="00621592">
      <w:rPr>
        <w:rFonts w:cs="Calibri"/>
        <w:bCs/>
        <w:sz w:val="24"/>
        <w:szCs w:val="24"/>
        <w:lang w:val="fr-CA"/>
      </w:rPr>
      <w:t>DÉCÉLÉRATION CONTRÔLÉES</w:t>
    </w:r>
    <w:r>
      <w:rPr>
        <w:rFonts w:cs="Calibri"/>
        <w:bCs/>
        <w:sz w:val="24"/>
        <w:szCs w:val="24"/>
        <w:highlight w:val="green"/>
        <w:lang w:val="fr-CA"/>
      </w:rPr>
      <w:t xml:space="preserve"> </w:t>
    </w:r>
  </w:p>
  <w:p w14:paraId="715A2829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</w:p>
  <w:p w14:paraId="2AC3AEBF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6637DB" wp14:editId="3779A5E0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4792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3013A6FC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7CF9E3F7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CEC7" w14:textId="77777777" w:rsidR="00FB3EF1" w:rsidRDefault="00FB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55C3C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942DD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6E1E75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E6124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664CE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47FD"/>
    <w:rsid w:val="00CC5A12"/>
    <w:rsid w:val="00CC7CF2"/>
    <w:rsid w:val="00CC7F3B"/>
    <w:rsid w:val="00CE5F47"/>
    <w:rsid w:val="00D04902"/>
    <w:rsid w:val="00D04DC4"/>
    <w:rsid w:val="00D05405"/>
    <w:rsid w:val="00D15CF2"/>
    <w:rsid w:val="00D16D66"/>
    <w:rsid w:val="00D21608"/>
    <w:rsid w:val="00D3006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2476C"/>
    <w:rsid w:val="00E32610"/>
    <w:rsid w:val="00E423B9"/>
    <w:rsid w:val="00E477C7"/>
    <w:rsid w:val="00E7238A"/>
    <w:rsid w:val="00E80CED"/>
    <w:rsid w:val="00EA6635"/>
    <w:rsid w:val="00EA76B0"/>
    <w:rsid w:val="00EC1190"/>
    <w:rsid w:val="00EC1908"/>
    <w:rsid w:val="00EC7DFE"/>
    <w:rsid w:val="00ED0430"/>
    <w:rsid w:val="00ED0971"/>
    <w:rsid w:val="00EE2C55"/>
    <w:rsid w:val="00F00861"/>
    <w:rsid w:val="00F02039"/>
    <w:rsid w:val="00F04333"/>
    <w:rsid w:val="00F179ED"/>
    <w:rsid w:val="00F35B1E"/>
    <w:rsid w:val="00F3654B"/>
    <w:rsid w:val="00F648E6"/>
    <w:rsid w:val="00F908B3"/>
    <w:rsid w:val="00F95739"/>
    <w:rsid w:val="00FB11DF"/>
    <w:rsid w:val="00FB3EF1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F24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6</cp:revision>
  <cp:lastPrinted>2011-10-31T19:02:00Z</cp:lastPrinted>
  <dcterms:created xsi:type="dcterms:W3CDTF">2018-06-26T12:41:00Z</dcterms:created>
  <dcterms:modified xsi:type="dcterms:W3CDTF">2018-08-17T15:24:00Z</dcterms:modified>
</cp:coreProperties>
</file>